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line="560" w:lineRule="exact"/>
        <w:ind w:firstLine="0" w:firstLineChars="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afterLines="0" w:line="560" w:lineRule="exact"/>
        <w:ind w:firstLine="640" w:firstLineChars="200"/>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afterLines="0" w:line="660" w:lineRule="exact"/>
        <w:ind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“广东省三级</w:t>
      </w:r>
      <w:r>
        <w:rPr>
          <w:rFonts w:hint="default" w:ascii="Times New Roman" w:hAnsi="Times New Roman" w:eastAsia="方正小标宋简体" w:cs="Times New Roman"/>
          <w:sz w:val="44"/>
          <w:szCs w:val="44"/>
          <w:lang w:eastAsia="zh-CN"/>
        </w:rPr>
        <w:t>以上</w:t>
      </w:r>
      <w:r>
        <w:rPr>
          <w:rFonts w:hint="default" w:ascii="Times New Roman" w:hAnsi="Times New Roman" w:eastAsia="方正小标宋简体" w:cs="Times New Roman"/>
          <w:sz w:val="44"/>
          <w:szCs w:val="44"/>
        </w:rPr>
        <w:t>医院科技状况”调查问卷</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医院是国家医学科技创新体系的重要组成部分，是医学科技创新</w:t>
      </w:r>
      <w:r>
        <w:rPr>
          <w:rFonts w:hint="default" w:ascii="Times New Roman" w:hAnsi="Times New Roman" w:eastAsia="仿宋_GB2312" w:cs="Times New Roman"/>
          <w:sz w:val="32"/>
          <w:szCs w:val="32"/>
          <w:lang w:eastAsia="zh-CN"/>
        </w:rPr>
        <w:t>和人才培养</w:t>
      </w:r>
      <w:r>
        <w:rPr>
          <w:rFonts w:hint="default" w:ascii="Times New Roman" w:hAnsi="Times New Roman" w:eastAsia="仿宋_GB2312" w:cs="Times New Roman"/>
          <w:sz w:val="32"/>
          <w:szCs w:val="32"/>
        </w:rPr>
        <w:t>的主要阵地。为更好地促进医院学科建设，促进医学科技成果向临床应用转化，为提高医疗质量水平和解决疑难杂症的服务能力提供更有力的科技支撑，</w:t>
      </w:r>
      <w:r>
        <w:rPr>
          <w:rFonts w:hint="default" w:ascii="Times New Roman" w:hAnsi="Times New Roman" w:eastAsia="仿宋_GB2312" w:cs="Times New Roman"/>
          <w:sz w:val="32"/>
          <w:szCs w:val="32"/>
          <w:lang w:eastAsia="zh-CN"/>
        </w:rPr>
        <w:t>我委组织</w:t>
      </w:r>
      <w:r>
        <w:rPr>
          <w:rFonts w:hint="default" w:ascii="Times New Roman" w:hAnsi="Times New Roman" w:eastAsia="仿宋_GB2312" w:cs="Times New Roman"/>
          <w:sz w:val="32"/>
          <w:szCs w:val="32"/>
        </w:rPr>
        <w:t>开展“广东省三级</w:t>
      </w:r>
      <w:r>
        <w:rPr>
          <w:rFonts w:hint="default" w:ascii="Times New Roman" w:hAnsi="Times New Roman" w:eastAsia="仿宋_GB2312" w:cs="Times New Roman"/>
          <w:sz w:val="32"/>
          <w:szCs w:val="32"/>
          <w:lang w:eastAsia="zh-CN"/>
        </w:rPr>
        <w:t>以上</w:t>
      </w:r>
      <w:r>
        <w:rPr>
          <w:rFonts w:hint="default" w:ascii="Times New Roman" w:hAnsi="Times New Roman" w:eastAsia="仿宋_GB2312" w:cs="Times New Roman"/>
          <w:sz w:val="32"/>
          <w:szCs w:val="32"/>
        </w:rPr>
        <w:t>医院科技状况”调查</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以下信息请如实填写。</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1.填表信息</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单位名称：</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填表人姓名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填表人职务：</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联系电话：</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电子邮箱：</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科研投入</w:t>
      </w:r>
    </w:p>
    <w:p>
      <w:pPr>
        <w:keepNext w:val="0"/>
        <w:keepLines w:val="0"/>
        <w:pageBreakBefore w:val="0"/>
        <w:widowControl w:val="0"/>
        <w:kinsoku/>
        <w:wordWrap/>
        <w:overflowPunct/>
        <w:topLinePunct w:val="0"/>
        <w:bidi w:val="0"/>
        <w:adjustRightInd/>
        <w:snapToGrid/>
        <w:spacing w:line="560" w:lineRule="exact"/>
        <w:ind w:left="0" w:leftChars="0" w:firstLine="643" w:firstLineChars="200"/>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A</w:t>
      </w:r>
      <w:r>
        <w:rPr>
          <w:rFonts w:hint="default" w:ascii="Times New Roman" w:hAnsi="Times New Roman" w:cs="Times New Roman"/>
          <w:b/>
          <w:sz w:val="32"/>
          <w:szCs w:val="32"/>
          <w:lang w:eastAsia="zh-CN"/>
        </w:rPr>
        <w:t>.</w:t>
      </w:r>
      <w:r>
        <w:rPr>
          <w:rFonts w:hint="default" w:ascii="Times New Roman" w:hAnsi="Times New Roman" w:eastAsia="仿宋_GB2312" w:cs="Times New Roman"/>
          <w:b/>
          <w:sz w:val="32"/>
          <w:szCs w:val="32"/>
        </w:rPr>
        <w:t>科研人员数量</w:t>
      </w:r>
    </w:p>
    <w:p>
      <w:pPr>
        <w:keepNext w:val="0"/>
        <w:keepLines w:val="0"/>
        <w:pageBreakBefore w:val="0"/>
        <w:widowControl w:val="0"/>
        <w:numPr>
          <w:ilvl w:val="0"/>
          <w:numId w:val="1"/>
        </w:numPr>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专职科研人员人数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专职科研人员：</w:t>
      </w:r>
      <w:r>
        <w:rPr>
          <w:rFonts w:hint="default" w:ascii="Times New Roman" w:hAnsi="Times New Roman" w:eastAsia="仿宋_GB2312" w:cs="Times New Roman"/>
          <w:sz w:val="32"/>
          <w:szCs w:val="32"/>
        </w:rPr>
        <w:t>具备一定的科学理论知识并专职从事科学研究工作的本医院工作人员，包括医院在编人员和合同人员，以及研究生、引进人才等（如珠江人才引进计划或其他国家级、省部级人才计划）。不包括从事科技管理人员的行政人员、外聘的流动研究人员、离退休人员、停薪人员。</w:t>
      </w:r>
    </w:p>
    <w:p>
      <w:pPr>
        <w:keepNext w:val="0"/>
        <w:keepLines w:val="0"/>
        <w:pageBreakBefore w:val="0"/>
        <w:widowControl w:val="0"/>
        <w:numPr>
          <w:ilvl w:val="0"/>
          <w:numId w:val="1"/>
        </w:numPr>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sz w:val="32"/>
          <w:szCs w:val="32"/>
        </w:rPr>
        <w:t>专职科研人员占卫生技术人员百分比（截至2018年）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 xml:space="preserve">计算方法：专职科研人员数/卫生技术人员数×100%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卫生技术人员总数：</w:t>
      </w:r>
      <w:r>
        <w:rPr>
          <w:rFonts w:hint="default" w:ascii="Times New Roman" w:hAnsi="Times New Roman" w:eastAsia="仿宋_GB2312" w:cs="Times New Roman"/>
          <w:sz w:val="32"/>
          <w:szCs w:val="32"/>
        </w:rPr>
        <w:t>包括执业医师、执业助理医师、注册护士、药师(士)、检验及影像技师(士)、卫生监督员和其他卫生技术人员，不包括从事管理工作的卫生技术人员(如院长、副院长、党委书记等)。</w:t>
      </w:r>
    </w:p>
    <w:p>
      <w:pPr>
        <w:keepNext w:val="0"/>
        <w:keepLines w:val="0"/>
        <w:pageBreakBefore w:val="0"/>
        <w:widowControl w:val="0"/>
        <w:kinsoku/>
        <w:wordWrap/>
        <w:overflowPunct/>
        <w:topLinePunct w:val="0"/>
        <w:bidi w:val="0"/>
        <w:adjustRightInd/>
        <w:snapToGrid/>
        <w:spacing w:line="560" w:lineRule="exact"/>
        <w:ind w:left="0" w:leftChars="0" w:firstLine="643" w:firstLineChars="200"/>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bCs w:val="0"/>
          <w:sz w:val="32"/>
          <w:szCs w:val="32"/>
        </w:rPr>
        <w:t>B</w:t>
      </w:r>
      <w:r>
        <w:rPr>
          <w:rFonts w:hint="default" w:ascii="Times New Roman" w:hAnsi="Times New Roman" w:cs="Times New Roman"/>
          <w:b/>
          <w:bCs w:val="0"/>
          <w:sz w:val="32"/>
          <w:szCs w:val="32"/>
          <w:lang w:eastAsia="zh-CN"/>
        </w:rPr>
        <w:t>.</w:t>
      </w:r>
      <w:r>
        <w:rPr>
          <w:rFonts w:hint="default" w:ascii="Times New Roman" w:hAnsi="Times New Roman" w:eastAsia="仿宋_GB2312" w:cs="Times New Roman"/>
          <w:b/>
          <w:bCs w:val="0"/>
          <w:sz w:val="32"/>
          <w:szCs w:val="32"/>
        </w:rPr>
        <w:t>科研项目</w:t>
      </w:r>
      <w:r>
        <w:rPr>
          <w:rFonts w:hint="default" w:ascii="Times New Roman" w:hAnsi="Times New Roman" w:eastAsia="仿宋_GB2312" w:cs="Times New Roman"/>
          <w:b/>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注：以下项目需本单位为项目牵头单位，或子项目牵头单位。</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B.1</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2016-2018年国家级项目科研数量（请填写项数，如无某项，则填0）</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4.牵头国家重点研发计划数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注：是由原来的国家重点基础研究发展计划（973计划）、国家高技术研究发展计划（863计划）、国家科技支撑计划、国际科技合作与交流专项、产业技术研究与开发基金和公益性行业科研专项等整合而成。</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5.牵头国家科技重大专项数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注：《国家中长期科学和技术发展规划纲要（2006-2020）》确定了16个重大专项，医疗领域中包括“新药创制专项”和“传染病防治专项”2项。</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6.牵头国家自然科学基金项目数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注：自然科学基金按照资助类别可分为面上项目、重点项目、重大项目、重大研究计划、国家杰出青年科学基金、海外、港澳青年学者合作研究基金、创新研究群体科学基金、</w:t>
      </w:r>
      <w:bookmarkStart w:id="0" w:name="_GoBack"/>
      <w:r>
        <w:rPr>
          <w:rFonts w:hint="default" w:ascii="Times New Roman" w:hAnsi="Times New Roman" w:eastAsia="仿宋_GB2312" w:cs="Times New Roman"/>
          <w:sz w:val="32"/>
          <w:szCs w:val="32"/>
        </w:rPr>
        <w:t>国家基础科学人才培养基金、专项项目、联合资助基金项目</w:t>
      </w:r>
      <w:bookmarkEnd w:id="0"/>
      <w:r>
        <w:rPr>
          <w:rFonts w:hint="default" w:ascii="Times New Roman" w:hAnsi="Times New Roman" w:eastAsia="仿宋_GB2312" w:cs="Times New Roman"/>
          <w:sz w:val="32"/>
          <w:szCs w:val="32"/>
        </w:rPr>
        <w:t>以及国际（地区）合作与交流项目等。</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B.2</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 xml:space="preserve">2016-2018年省部级科研项目数量 （请填写项数，如无某项，则填0）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注：指省科技厅、国家行政(除科技部和代表国家下达科研课题的部委外)各部委批准的科技项目，如国家卫健委、教育部、国家中医药管理局等。</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7.牵头广东省科技厅项目数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8.牵头广东省自然科学基金项目数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B.3</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 xml:space="preserve">2016-2018年市厅级科研项目（请填写项数，如无某项，则填0）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注：指各地(市、州)科技局、省级行政部门除省科技厅外的各厅局批准的科技项目。</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9.牵头广东省卫生健康委员会项目数（含广东省中医药局项目）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10.牵头广东省教育厅项目数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B.4</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2016-2018年入选杰出人才团队个数（请填写个数，如无某项，则填0）</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11.入选“科技部重点领域创新团队”个数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12.入选“国家自然科学基金创新研究群体”个数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13.入选“教育部创新团队发展计划”个数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14.入选“珠江人才计划引进创新创业团队”个数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15.入选“扬帆计划引进创新创业团队”个数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16.入选其他国家级、省级杰出团队个数（如无则填0）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杰出团队名称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B.5</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 xml:space="preserve">临床试验项目（请填写项目个数，如无该项，则填0）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17.2016-2018年开展临床试验项目个数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注：需是www.clinicaltrials.gov注册项目 * </w:t>
      </w:r>
    </w:p>
    <w:p>
      <w:pPr>
        <w:keepNext w:val="0"/>
        <w:keepLines w:val="0"/>
        <w:pageBreakBefore w:val="0"/>
        <w:widowControl w:val="0"/>
        <w:kinsoku/>
        <w:wordWrap/>
        <w:overflowPunct/>
        <w:topLinePunct w:val="0"/>
        <w:bidi w:val="0"/>
        <w:adjustRightInd/>
        <w:snapToGrid/>
        <w:spacing w:line="560" w:lineRule="exact"/>
        <w:ind w:left="0" w:leftChars="0" w:firstLine="643" w:firstLineChars="200"/>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C</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科研平台</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C.1</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重点实验室（请填写实验室个数，如无某项，则填0）注：只计入截至2018年底已挂牌并已投入使用的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18.国家级重点实验室个数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19.省部共建（国家重点实验室）个数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20.省级重点实验室个数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C.2</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 xml:space="preserve">临床医学研究中心（请填写个数，如无某项，则填0）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注：只计入截至2018年底已挂牌并已投入使用的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21.国家级临床医学研究中心个数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22.省部共建临床医学研究中心个数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23.省级临床医学研究中心个数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24.国家级临床医学研究中心分中心个数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C.3</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临床重点专科（请填写个数，如无某项，则填0）</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注：只计入截至2018年底已挂牌并已投入使用的</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25.国家级临床重点专科个数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26.省级临床重点专科个数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C.4</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院士工作站（请填写个数，如无该项，则填0）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注：只计入截至2018年底已挂牌并有由院士牵头开展的在研科研项目的工作站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C.5</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博士后科研工作站/流动站（请填写个数，如无该项，则填0）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注：只计入截至2018年底已挂牌并有博士在研项目的</w:t>
      </w:r>
    </w:p>
    <w:p>
      <w:pPr>
        <w:keepNext w:val="0"/>
        <w:keepLines w:val="0"/>
        <w:pageBreakBefore w:val="0"/>
        <w:widowControl w:val="0"/>
        <w:kinsoku/>
        <w:wordWrap/>
        <w:overflowPunct/>
        <w:topLinePunct w:val="0"/>
        <w:autoSpaceDE w:val="0"/>
        <w:autoSpaceDN w:val="0"/>
        <w:bidi w:val="0"/>
        <w:adjustRightInd/>
        <w:snapToGrid/>
        <w:spacing w:before="156" w:line="560" w:lineRule="exact"/>
        <w:ind w:left="0" w:leftChars="0" w:firstLine="640" w:firstLineChars="200"/>
        <w:jc w:val="both"/>
        <w:textAlignment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C.6</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人才梯队（截至2018年底）</w:t>
      </w:r>
    </w:p>
    <w:p>
      <w:pPr>
        <w:keepNext w:val="0"/>
        <w:keepLines w:val="0"/>
        <w:pageBreakBefore w:val="0"/>
        <w:widowControl w:val="0"/>
        <w:numPr>
          <w:ilvl w:val="0"/>
          <w:numId w:val="2"/>
        </w:numPr>
        <w:kinsoku/>
        <w:wordWrap/>
        <w:overflowPunct/>
        <w:topLinePunct w:val="0"/>
        <w:autoSpaceDE w:val="0"/>
        <w:autoSpaceDN w:val="0"/>
        <w:bidi w:val="0"/>
        <w:adjustRightInd/>
        <w:snapToGrid/>
        <w:spacing w:before="156" w:line="560" w:lineRule="exact"/>
        <w:ind w:left="0" w:leftChars="0" w:firstLine="640" w:firstLineChars="200"/>
        <w:jc w:val="both"/>
        <w:textAlignment w:val="center"/>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博士生导师人数占比（百分比%）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156" w:line="560" w:lineRule="exact"/>
        <w:ind w:left="0" w:leftChars="0" w:firstLine="640" w:firstLineChars="200"/>
        <w:jc w:val="both"/>
        <w:textAlignment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注：博士生导师数/同期卫生技术人员总数×100%，包括执业医师、执业助理医师、注册护士、药师(士)、检验及影像技师(士)、卫生监督员和从事管理工作的卫生技术人员(如院长、副院长、党委书记等）</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560" w:lineRule="exact"/>
        <w:ind w:leftChars="200"/>
        <w:jc w:val="both"/>
        <w:textAlignment w:val="center"/>
        <w:outlineLvl w:val="9"/>
        <w:rPr>
          <w:rFonts w:hint="default" w:ascii="Times New Roman" w:hAnsi="Times New Roman" w:eastAsia="仿宋_GB2312" w:cs="Times New Roman"/>
          <w:sz w:val="32"/>
          <w:szCs w:val="32"/>
        </w:rPr>
      </w:pPr>
      <w:r>
        <w:rPr>
          <w:rFonts w:hint="default" w:ascii="Times New Roman" w:hAnsi="Times New Roman" w:cs="Times New Roman"/>
          <w:sz w:val="32"/>
          <w:szCs w:val="32"/>
          <w:lang w:val="en-US" w:eastAsia="zh-CN"/>
        </w:rPr>
        <w:t>30.</w:t>
      </w:r>
      <w:r>
        <w:rPr>
          <w:rFonts w:hint="default" w:ascii="Times New Roman" w:hAnsi="Times New Roman" w:eastAsia="仿宋_GB2312" w:cs="Times New Roman"/>
          <w:sz w:val="32"/>
          <w:szCs w:val="32"/>
        </w:rPr>
        <w:t>硕士生导师人数占比（百分比%）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560" w:lineRule="exact"/>
        <w:ind w:left="0" w:leftChars="0" w:firstLine="640" w:firstLineChars="200"/>
        <w:jc w:val="both"/>
        <w:textAlignment w:val="center"/>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注：硕士生导师数/同期卫生技术人员总数×100%，包括执业医师、执业助理医师、注册护士、药师(士)、检验及影像技师(士)、卫生监督员和从事管理工作的卫生技术人员(如院长、副院长、党委书记等）</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560" w:lineRule="exact"/>
        <w:ind w:left="0" w:leftChars="0" w:firstLine="643" w:firstLineChars="200"/>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D</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科研经费投入强度</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31.2018年每百名卫生技术人员科研项目经费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计算方法：本年度科研项目立项经费总金额/同期卫生技术人员总数×100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单位</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万元）</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注：本年度科研项目立项经费总额：医</w:t>
      </w:r>
      <w:r>
        <w:rPr>
          <w:rFonts w:hint="default" w:ascii="Times New Roman" w:hAnsi="Times New Roman" w:eastAsia="仿宋_GB2312" w:cs="Times New Roman"/>
          <w:sz w:val="32"/>
          <w:szCs w:val="32"/>
        </w:rPr>
        <w:t>院现有的科研项目经费（国家级、省部级、厅局级科研项目），包括在研项目经费（含新立项项目）和本单位配套经费。负责课题子项目的只统计该课题经费中划分给本单位的实际经费，而不是该课题的所有经费总额，即剔除与其他单位合作的拨出经费，加上从其他部门取得的财政拨款。</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before="157" w:after="157"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rPr>
        <w:t>同期卫生技术人员总数：</w:t>
      </w:r>
      <w:r>
        <w:rPr>
          <w:rFonts w:hint="default" w:ascii="Times New Roman" w:hAnsi="Times New Roman" w:eastAsia="仿宋_GB2312" w:cs="Times New Roman"/>
          <w:sz w:val="32"/>
          <w:szCs w:val="32"/>
        </w:rPr>
        <w:t>包括执业医师、执业助理医师、注册护士、药师(士)、检验及影像技师(士)、卫 生监督员和其他卫生技术人员，不包括从事管理工作的卫生技术人员(如院长、副院长、党委书记等)。</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before="157" w:after="157" w:line="560" w:lineRule="exact"/>
        <w:ind w:left="0" w:leftChars="0" w:firstLine="640" w:firstLineChars="200"/>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32.2018年本单位科研经费投入额与医院业务收入比值（百分比%）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numPr>
          <w:ilvl w:val="0"/>
          <w:numId w:val="0"/>
        </w:numPr>
        <w:tabs>
          <w:tab w:val="left" w:pos="312"/>
        </w:tabs>
        <w:kinsoku/>
        <w:wordWrap/>
        <w:overflowPunct/>
        <w:topLinePunct w:val="0"/>
        <w:autoSpaceDE w:val="0"/>
        <w:autoSpaceDN w:val="0"/>
        <w:bidi w:val="0"/>
        <w:adjustRightInd/>
        <w:snapToGrid/>
        <w:spacing w:before="157" w:after="157"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w:t>
      </w:r>
      <w:r>
        <w:rPr>
          <w:rFonts w:hint="default" w:ascii="Times New Roman" w:hAnsi="Times New Roman" w:eastAsia="仿宋_GB2312" w:cs="Times New Roman"/>
          <w:b w:val="0"/>
          <w:bCs w:val="0"/>
          <w:sz w:val="32"/>
          <w:szCs w:val="32"/>
        </w:rPr>
        <w:t>：本单位科研经费投入额：包括</w:t>
      </w:r>
      <w:r>
        <w:rPr>
          <w:rFonts w:hint="default" w:ascii="Times New Roman" w:hAnsi="Times New Roman" w:eastAsia="仿宋_GB2312" w:cs="Times New Roman"/>
          <w:sz w:val="32"/>
          <w:szCs w:val="32"/>
        </w:rPr>
        <w:t>科研项目经费、科研管理平台建立与维护、内部创新激励奖金、专职科研 人员工资收入等。</w:t>
      </w:r>
      <w:r>
        <w:rPr>
          <w:rFonts w:hint="default" w:ascii="Times New Roman" w:hAnsi="Times New Roman" w:eastAsia="仿宋_GB2312" w:cs="Times New Roman"/>
          <w:b w:val="0"/>
          <w:bCs/>
          <w:sz w:val="32"/>
          <w:szCs w:val="32"/>
        </w:rPr>
        <w:t>医院医疗业务收入：</w:t>
      </w:r>
      <w:r>
        <w:rPr>
          <w:rFonts w:hint="default" w:ascii="Times New Roman" w:hAnsi="Times New Roman" w:eastAsia="仿宋_GB2312" w:cs="Times New Roman"/>
          <w:sz w:val="32"/>
          <w:szCs w:val="32"/>
        </w:rPr>
        <w:t>包括挂号收入、床位收入、诊察收入、检查收入、治疗收入、护理收入、康复治疗 收入和药品收入（销售西药、中成药、中草药的收入）</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33.2018年获得国家、省级科研项目经费（单位：万元）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注：统计口径同“国家级科研项目”、“省部级科研项目”</w:t>
      </w:r>
    </w:p>
    <w:p>
      <w:pPr>
        <w:keepNext w:val="0"/>
        <w:keepLines w:val="0"/>
        <w:pageBreakBefore w:val="0"/>
        <w:widowControl w:val="0"/>
        <w:kinsoku/>
        <w:wordWrap/>
        <w:overflowPunct/>
        <w:topLinePunct w:val="0"/>
        <w:bidi w:val="0"/>
        <w:adjustRightInd/>
        <w:snapToGrid/>
        <w:spacing w:before="156" w:line="560" w:lineRule="exact"/>
        <w:ind w:firstLine="643" w:firstLineChars="200"/>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E</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科研管理</w:t>
      </w:r>
    </w:p>
    <w:p>
      <w:pPr>
        <w:keepNext w:val="0"/>
        <w:keepLines w:val="0"/>
        <w:pageBreakBefore w:val="0"/>
        <w:widowControl w:val="0"/>
        <w:kinsoku/>
        <w:wordWrap/>
        <w:overflowPunct/>
        <w:topLinePunct w:val="0"/>
        <w:bidi w:val="0"/>
        <w:adjustRightInd/>
        <w:snapToGrid/>
        <w:spacing w:before="156" w:line="56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val="0"/>
          <w:bCs/>
          <w:sz w:val="32"/>
          <w:szCs w:val="32"/>
          <w:lang w:val="en-US" w:eastAsia="zh-CN"/>
        </w:rPr>
        <w:t>34.</w:t>
      </w:r>
      <w:r>
        <w:rPr>
          <w:rFonts w:hint="default" w:ascii="Times New Roman" w:hAnsi="Times New Roman" w:eastAsia="仿宋_GB2312" w:cs="Times New Roman"/>
          <w:bCs/>
          <w:sz w:val="32"/>
          <w:szCs w:val="32"/>
        </w:rPr>
        <w:t>是</w:t>
      </w:r>
      <w:r>
        <w:rPr>
          <w:rFonts w:hint="default" w:ascii="Times New Roman" w:hAnsi="Times New Roman" w:eastAsia="仿宋_GB2312" w:cs="Times New Roman"/>
          <w:sz w:val="32"/>
          <w:szCs w:val="32"/>
        </w:rPr>
        <w:t>否设立专门的科研管理机构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  否</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注：科研的组织领导体制(科研管理机构、学术委员会或科研伦理委员会等)或者设置了相应的科研机构 (类似于研究所、研究室或研究组等)）。</w:t>
      </w:r>
    </w:p>
    <w:p>
      <w:pPr>
        <w:keepNext w:val="0"/>
        <w:keepLines w:val="0"/>
        <w:pageBreakBefore w:val="0"/>
        <w:widowControl w:val="0"/>
        <w:numPr>
          <w:ilvl w:val="0"/>
          <w:numId w:val="3"/>
        </w:numPr>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是否有专职科技管理人员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  否</w:t>
      </w:r>
    </w:p>
    <w:p>
      <w:pPr>
        <w:keepNext w:val="0"/>
        <w:keepLines w:val="0"/>
        <w:pageBreakBefore w:val="0"/>
        <w:widowControl w:val="0"/>
        <w:numPr>
          <w:ilvl w:val="0"/>
          <w:numId w:val="0"/>
        </w:numPr>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注：（专门负责科研课题管理、学术活动管理、科研档案管理、科研成果评奖管理、科研经费管理、日常公务管理等事务的人员。）</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36.是否有科研规划和制度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是  否</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注：（建立健全了相关科技管理制度，如科研计划与成果管理制度、科研支持条例管理制度、学术交流制度、科技激励制度等。）</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科技产出</w:t>
      </w:r>
      <w:r>
        <w:rPr>
          <w:rFonts w:hint="default" w:ascii="Times New Roman" w:hAnsi="Times New Roman" w:eastAsia="仿宋_GB2312" w:cs="Times New Roman"/>
          <w:b/>
          <w:sz w:val="32"/>
          <w:szCs w:val="32"/>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3" w:firstLineChars="200"/>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A</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期刊论文</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37.2016年-2018年是否有SCIE收录论文</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有，请填写论文数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none"/>
          <w:lang w:val="en-US" w:eastAsia="zh-CN"/>
        </w:rPr>
        <w:t xml:space="preserve">  </w:t>
      </w:r>
      <w:r>
        <w:rPr>
          <w:rFonts w:hint="default" w:ascii="Times New Roman" w:hAnsi="Times New Roman" w:eastAsia="仿宋_GB2312" w:cs="Times New Roman"/>
          <w:sz w:val="32"/>
          <w:szCs w:val="32"/>
        </w:rPr>
        <w:t>无</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注：本单位作为第一单位发表的SCIE收录论文，重复论文不计算</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mc:AlternateContent>
          <mc:Choice Requires="wps">
            <w:drawing>
              <wp:anchor distT="0" distB="0" distL="114300" distR="114300" simplePos="0" relativeHeight="251658240" behindDoc="0" locked="0" layoutInCell="1" allowOverlap="1">
                <wp:simplePos x="0" y="0"/>
                <wp:positionH relativeFrom="column">
                  <wp:posOffset>9201150</wp:posOffset>
                </wp:positionH>
                <wp:positionV relativeFrom="paragraph">
                  <wp:posOffset>290830</wp:posOffset>
                </wp:positionV>
                <wp:extent cx="1447800" cy="285750"/>
                <wp:effectExtent l="4445" t="4445" r="14605" b="14605"/>
                <wp:wrapNone/>
                <wp:docPr id="1" name="矩形 1"/>
                <wp:cNvGraphicFramePr/>
                <a:graphic xmlns:a="http://schemas.openxmlformats.org/drawingml/2006/main">
                  <a:graphicData uri="http://schemas.microsoft.com/office/word/2010/wordprocessingShape">
                    <wps:wsp>
                      <wps:cNvSpPr/>
                      <wps:spPr>
                        <a:xfrm>
                          <a:off x="0" y="0"/>
                          <a:ext cx="1447800" cy="28575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24.5pt;margin-top:22.9pt;height:22.5pt;width:114pt;z-index:251658240;mso-width-relative:page;mso-height-relative:page;" coordsize="21600,21600" o:gfxdata="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HenhXZAAAA&#10;CwEAAA8AAAAAAAAAAQAgAAAAIgAAAGRycy9kb3ducmV2LnhtbFBLAQIUABQAAAAIAIdO4kDAqtw+&#10;4wEAANADAAAOAAAAAAAAAAEAIAAAACgBAABkcnMvZTJvRG9jLnhtbFBLBQYAAAAABgAGAFkBAAB9&#10;BQAAAAA=&#10;">
                <v:path/>
                <v:fill focussize="0,0"/>
                <v:stroke/>
                <v:imagedata o:title=""/>
                <o:lock v:ext="edit"/>
              </v:rect>
            </w:pict>
          </mc:Fallback>
        </mc:AlternateContent>
      </w:r>
      <w:r>
        <w:rPr>
          <w:rFonts w:hint="default" w:ascii="Times New Roman" w:hAnsi="Times New Roman" w:eastAsia="仿宋_GB2312" w:cs="Times New Roman"/>
          <w:sz w:val="32"/>
          <w:szCs w:val="32"/>
        </w:rPr>
        <w:t>38. 2016年-2018年中文核心期刊论文发表数（请填写个数，如无该项，则填0）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注：本单位作为第一单位发表于北京大学图书馆“中文核心期刊”，重复论文不计算 </w:t>
      </w:r>
    </w:p>
    <w:p>
      <w:pPr>
        <w:keepNext w:val="0"/>
        <w:keepLines w:val="0"/>
        <w:pageBreakBefore w:val="0"/>
        <w:widowControl w:val="0"/>
        <w:kinsoku/>
        <w:wordWrap/>
        <w:overflowPunct/>
        <w:topLinePunct w:val="0"/>
        <w:bidi w:val="0"/>
        <w:adjustRightInd/>
        <w:snapToGrid/>
        <w:spacing w:before="156" w:line="560" w:lineRule="exact"/>
        <w:ind w:left="0" w:leftChars="0" w:firstLine="643" w:firstLineChars="200"/>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B</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 xml:space="preserve">标准制定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（请填写个数，如无该项，则填0）</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39.牵头制定国家标准、规范、指南个数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40.参与“中国专家共识”，并在中华系列杂志发表的个数</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注：中华医学会主办的中华系列杂志，如《中华医学杂志》、《中华儿科杂志》、《中华眼科杂志》 等。</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41.参与国际指南与规范项目个数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注：需提供相关引用证书佐证材料备查 </w:t>
      </w:r>
    </w:p>
    <w:p>
      <w:pPr>
        <w:keepNext w:val="0"/>
        <w:keepLines w:val="0"/>
        <w:pageBreakBefore w:val="0"/>
        <w:widowControl w:val="0"/>
        <w:kinsoku/>
        <w:wordWrap/>
        <w:overflowPunct/>
        <w:topLinePunct w:val="0"/>
        <w:bidi w:val="0"/>
        <w:adjustRightInd/>
        <w:snapToGrid/>
        <w:spacing w:before="156" w:line="560" w:lineRule="exact"/>
        <w:ind w:left="0" w:leftChars="0" w:firstLine="643"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C</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专利</w:t>
      </w:r>
      <w:r>
        <w:rPr>
          <w:rFonts w:hint="default" w:ascii="Times New Roman" w:hAnsi="Times New Roman" w:eastAsia="仿宋_GB2312" w:cs="Times New Roman"/>
          <w:sz w:val="32"/>
          <w:szCs w:val="32"/>
        </w:rPr>
        <w:t>（请填写个数，如无该项，则填0）</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42.2016-2018年获得发明专利个数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3"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D</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科技成果转化</w:t>
      </w:r>
      <w:r>
        <w:rPr>
          <w:rFonts w:hint="default" w:ascii="Times New Roman" w:hAnsi="Times New Roman" w:eastAsia="仿宋_GB2312" w:cs="Times New Roman"/>
          <w:sz w:val="32"/>
          <w:szCs w:val="32"/>
        </w:rPr>
        <w:t xml:space="preserve"> （请填写个数，如无该项，则填0）</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43.2016-2018年自有专利授权他人（机构）实施项目个数</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注：需提供协议等佐证材料备查</w:t>
      </w:r>
    </w:p>
    <w:p>
      <w:pPr>
        <w:keepNext w:val="0"/>
        <w:keepLines w:val="0"/>
        <w:pageBreakBefore w:val="0"/>
        <w:widowControl w:val="0"/>
        <w:kinsoku/>
        <w:wordWrap/>
        <w:overflowPunct/>
        <w:topLinePunct w:val="0"/>
        <w:bidi w:val="0"/>
        <w:adjustRightInd/>
        <w:snapToGrid/>
        <w:spacing w:before="156" w:line="560" w:lineRule="exact"/>
        <w:ind w:left="0" w:leftChars="0" w:firstLine="643" w:firstLineChars="200"/>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E</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产业转化</w:t>
      </w:r>
      <w:r>
        <w:rPr>
          <w:rFonts w:hint="default" w:ascii="Times New Roman" w:hAnsi="Times New Roman" w:eastAsia="仿宋_GB2312" w:cs="Times New Roman"/>
          <w:sz w:val="32"/>
          <w:szCs w:val="32"/>
        </w:rPr>
        <w:t>（请填写个数，如无该项，则填0）</w:t>
      </w:r>
    </w:p>
    <w:p>
      <w:pPr>
        <w:keepNext w:val="0"/>
        <w:keepLines w:val="0"/>
        <w:pageBreakBefore w:val="0"/>
        <w:widowControl w:val="0"/>
        <w:kinsoku/>
        <w:wordWrap/>
        <w:overflowPunct/>
        <w:topLinePunct w:val="0"/>
        <w:bidi w:val="0"/>
        <w:adjustRightInd/>
        <w:snapToGrid/>
        <w:spacing w:before="156" w:line="560" w:lineRule="exact"/>
        <w:ind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44.2016-2018年与企业合作产业化项目个数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黑体" w:cs="Times New Roman"/>
          <w:b w:val="0"/>
          <w:bCs/>
          <w:sz w:val="32"/>
          <w:szCs w:val="32"/>
        </w:rPr>
      </w:pPr>
      <w:r>
        <w:rPr>
          <w:rFonts w:hint="default" w:ascii="Times New Roman" w:hAnsi="Times New Roman" w:eastAsia="黑体" w:cs="Times New Roman"/>
          <w:b w:val="0"/>
          <w:bCs/>
          <w:sz w:val="32"/>
          <w:szCs w:val="32"/>
        </w:rPr>
        <w:t xml:space="preserve">社会声誉 </w:t>
      </w:r>
    </w:p>
    <w:p>
      <w:pPr>
        <w:keepNext w:val="0"/>
        <w:keepLines w:val="0"/>
        <w:pageBreakBefore w:val="0"/>
        <w:widowControl w:val="0"/>
        <w:kinsoku/>
        <w:wordWrap/>
        <w:overflowPunct/>
        <w:topLinePunct w:val="0"/>
        <w:bidi w:val="0"/>
        <w:adjustRightInd/>
        <w:snapToGrid/>
        <w:spacing w:before="156" w:line="560" w:lineRule="exact"/>
        <w:ind w:left="0" w:leftChars="0" w:firstLine="643" w:firstLineChars="200"/>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A</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学术影响</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注：获奖情况包括单位获奖和个人获奖情况</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A.1</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杰出人才（请填写人数，如无某项，则填0）</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注：仅统计截至2018年底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45.院士人数（本单位的或在本单位有院士工作站的）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46.入选“科技部中青年科技创新领军人才”人数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47.入选中组部、人社部“万人计划”人数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48.入选中科院“百人计划”人数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49.入选教育部“长江学者奖励计划”人数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50.入选科技部“创新人才推进计划”人数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51.入选“广东特支计划”人数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52.入选“广东省医学领军人才和杰出青年医学人才”人数</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53.入选“香江学者计划”人数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A.2</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2016—2018年获得国家科学技术奖（请填写项数，如无某项，则填0）</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注：分自然科学奖、技术发明奖、科学技术进步奖</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54.国家自然科学奖</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一等奖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二等奖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55.国家技术发明奖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一等奖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二等奖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56.国家科学技术进步奖</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特等奖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一等奖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二等奖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A.3</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2016—2018年获得国家级学会奖（请填写项数，如无该项，则填0）</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注：包括中华医学会、中华预防医学会、中华护理学会、中华中医药学会等国家一级学会颁发的奖项。</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A.4</w:t>
      </w:r>
      <w:r>
        <w:rPr>
          <w:rFonts w:hint="default" w:ascii="Times New Roman" w:hAnsi="Times New Roman" w:cs="Times New Roman"/>
          <w:sz w:val="32"/>
          <w:szCs w:val="32"/>
          <w:lang w:val="en-US" w:eastAsia="zh-CN"/>
        </w:rPr>
        <w:t>.</w:t>
      </w:r>
      <w:r>
        <w:rPr>
          <w:rFonts w:hint="default" w:ascii="Times New Roman" w:hAnsi="Times New Roman" w:eastAsia="仿宋_GB2312" w:cs="Times New Roman"/>
          <w:sz w:val="32"/>
          <w:szCs w:val="32"/>
        </w:rPr>
        <w:t>2016—2018年获得省部级奖（请填写项数，如无某项，则填0）</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58.广东省科学技术奖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59.丁颖科技奖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60.南粤功勋奖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61.南粤创新奖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b/>
          <w:sz w:val="32"/>
          <w:szCs w:val="32"/>
        </w:rPr>
      </w:pPr>
      <w:r>
        <w:rPr>
          <w:rFonts w:hint="default" w:ascii="Times New Roman" w:hAnsi="Times New Roman" w:eastAsia="黑体" w:cs="Times New Roman"/>
          <w:b w:val="0"/>
          <w:bCs/>
          <w:sz w:val="32"/>
          <w:szCs w:val="32"/>
        </w:rPr>
        <w:t>科技协同</w:t>
      </w:r>
    </w:p>
    <w:p>
      <w:pPr>
        <w:keepNext w:val="0"/>
        <w:keepLines w:val="0"/>
        <w:pageBreakBefore w:val="0"/>
        <w:widowControl w:val="0"/>
        <w:kinsoku/>
        <w:wordWrap/>
        <w:overflowPunct/>
        <w:topLinePunct w:val="0"/>
        <w:bidi w:val="0"/>
        <w:adjustRightInd/>
        <w:snapToGrid/>
        <w:spacing w:before="156" w:line="560" w:lineRule="exact"/>
        <w:ind w:left="0" w:leftChars="0" w:firstLine="643" w:firstLineChars="200"/>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A</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医教协同</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62.2018年医院住院医师规范化培训结业合格率（百分比%）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3"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B</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医防融合</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63.2016-2018年底牵头重大疾病社区防治覆盖人群（单位：万人）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kinsoku/>
        <w:wordWrap/>
        <w:overflowPunct/>
        <w:topLinePunct w:val="0"/>
        <w:bidi w:val="0"/>
        <w:adjustRightInd/>
        <w:snapToGrid/>
        <w:spacing w:before="156" w:line="560" w:lineRule="exact"/>
        <w:ind w:left="0" w:leftChars="0" w:firstLine="643" w:firstLineChars="200"/>
        <w:outlineLvl w:val="9"/>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C</w:t>
      </w:r>
      <w:r>
        <w:rPr>
          <w:rFonts w:hint="default" w:ascii="Times New Roman" w:hAnsi="Times New Roman" w:cs="Times New Roman"/>
          <w:b/>
          <w:sz w:val="32"/>
          <w:szCs w:val="32"/>
          <w:lang w:val="en-US" w:eastAsia="zh-CN"/>
        </w:rPr>
        <w:t>.</w:t>
      </w:r>
      <w:r>
        <w:rPr>
          <w:rFonts w:hint="default" w:ascii="Times New Roman" w:hAnsi="Times New Roman" w:eastAsia="仿宋_GB2312" w:cs="Times New Roman"/>
          <w:b/>
          <w:sz w:val="32"/>
          <w:szCs w:val="32"/>
        </w:rPr>
        <w:t xml:space="preserve">医疗服务 </w:t>
      </w:r>
    </w:p>
    <w:p>
      <w:pPr>
        <w:keepNext w:val="0"/>
        <w:keepLines w:val="0"/>
        <w:pageBreakBefore w:val="0"/>
        <w:widowControl w:val="0"/>
        <w:kinsoku/>
        <w:wordWrap/>
        <w:overflowPunct/>
        <w:topLinePunct w:val="0"/>
        <w:bidi w:val="0"/>
        <w:adjustRightInd/>
        <w:snapToGrid/>
        <w:spacing w:before="156"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64.2018年出院患者四级手术比例（百分比%）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tabs>
          <w:tab w:val="left" w:pos="312"/>
        </w:tabs>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注：出院患者四级手术台次数/同期出院患者手术台次数×100%（</w:t>
      </w:r>
      <w:r>
        <w:rPr>
          <w:rFonts w:hint="default" w:ascii="Times New Roman" w:hAnsi="Times New Roman" w:eastAsia="仿宋_GB2312" w:cs="Times New Roman"/>
          <w:b w:val="0"/>
          <w:bCs/>
          <w:sz w:val="32"/>
          <w:szCs w:val="32"/>
        </w:rPr>
        <w:t>含医嘱离</w:t>
      </w:r>
      <w:r>
        <w:rPr>
          <w:rFonts w:hint="default" w:ascii="Times New Roman" w:hAnsi="Times New Roman" w:eastAsia="仿宋_GB2312" w:cs="Times New Roman"/>
          <w:sz w:val="32"/>
          <w:szCs w:val="32"/>
        </w:rPr>
        <w:t>院、医嘱转其他医疗机构、非医嘱离院或其他人数</w:t>
      </w:r>
      <w:r>
        <w:rPr>
          <w:rFonts w:hint="default" w:ascii="Times New Roman" w:hAnsi="Times New Roman" w:eastAsia="仿宋_GB2312" w:cs="Times New Roman"/>
          <w:b w:val="0"/>
          <w:bCs w:val="0"/>
          <w:sz w:val="32"/>
          <w:szCs w:val="32"/>
        </w:rPr>
        <w:t>，不含死亡与家</w:t>
      </w:r>
      <w:r>
        <w:rPr>
          <w:rFonts w:hint="default" w:ascii="Times New Roman" w:hAnsi="Times New Roman" w:eastAsia="仿宋_GB2312" w:cs="Times New Roman"/>
          <w:sz w:val="32"/>
          <w:szCs w:val="32"/>
        </w:rPr>
        <w:t>庭病床撤床人数。）</w:t>
      </w:r>
    </w:p>
    <w:p>
      <w:pPr>
        <w:keepNext w:val="0"/>
        <w:keepLines w:val="0"/>
        <w:pageBreakBefore w:val="0"/>
        <w:widowControl w:val="0"/>
        <w:tabs>
          <w:tab w:val="left" w:pos="312"/>
        </w:tabs>
        <w:kinsoku/>
        <w:wordWrap/>
        <w:overflowPunct/>
        <w:topLinePunct w:val="0"/>
        <w:bidi w:val="0"/>
        <w:adjustRightInd/>
        <w:snapToGrid/>
        <w:spacing w:line="560" w:lineRule="exact"/>
        <w:ind w:left="0" w:leftChars="0" w:firstLine="640" w:firstLineChars="200"/>
        <w:outlineLvl w:val="9"/>
        <w:rPr>
          <w:rFonts w:hint="default" w:ascii="Times New Roman" w:hAnsi="Times New Roman" w:eastAsia="仿宋_GB2312" w:cs="Times New Roman"/>
          <w:sz w:val="32"/>
          <w:szCs w:val="32"/>
          <w:u w:val="single"/>
          <w:lang w:val="en-US" w:eastAsia="zh-CN"/>
        </w:rPr>
      </w:pPr>
      <w:r>
        <w:rPr>
          <w:rFonts w:hint="default" w:ascii="Times New Roman" w:hAnsi="Times New Roman" w:eastAsia="仿宋_GB2312" w:cs="Times New Roman"/>
          <w:sz w:val="32"/>
          <w:szCs w:val="32"/>
        </w:rPr>
        <w:t>65.2018年疑难危重疾病占比（百分比%）</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u w:val="single"/>
          <w:lang w:val="en-US" w:eastAsia="zh-CN"/>
        </w:rPr>
        <w:t xml:space="preserve">     </w:t>
      </w:r>
    </w:p>
    <w:p>
      <w:pPr>
        <w:keepNext w:val="0"/>
        <w:keepLines w:val="0"/>
        <w:pageBreakBefore w:val="0"/>
        <w:widowControl w:val="0"/>
        <w:tabs>
          <w:tab w:val="left" w:pos="312"/>
        </w:tabs>
        <w:kinsoku/>
        <w:wordWrap/>
        <w:overflowPunct/>
        <w:topLinePunct w:val="0"/>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 w:cs="Times New Roman"/>
          <w:sz w:val="32"/>
          <w:szCs w:val="32"/>
        </w:rPr>
      </w:pPr>
      <w:r>
        <w:rPr>
          <w:rFonts w:hint="default" w:ascii="Times New Roman" w:hAnsi="Times New Roman" w:eastAsia="仿宋_GB2312" w:cs="Times New Roman"/>
          <w:sz w:val="32"/>
          <w:szCs w:val="32"/>
        </w:rPr>
        <w:t>注：疑难危重病人数量/同期病人总数×100%</w:t>
      </w:r>
    </w:p>
    <w:p>
      <w:pPr>
        <w:spacing w:line="560" w:lineRule="exact"/>
        <w:ind w:firstLine="0" w:firstLineChars="0"/>
        <w:rPr>
          <w:rFonts w:hint="default" w:ascii="Times New Roman" w:hAnsi="Times New Roman" w:eastAsia="黑体" w:cs="Times New Roman"/>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639748"/>
    <w:multiLevelType w:val="singleLevel"/>
    <w:tmpl w:val="5D639748"/>
    <w:lvl w:ilvl="0" w:tentative="0">
      <w:start w:val="2"/>
      <w:numFmt w:val="decimal"/>
      <w:suff w:val="nothing"/>
      <w:lvlText w:val="%1."/>
      <w:lvlJc w:val="left"/>
    </w:lvl>
  </w:abstractNum>
  <w:abstractNum w:abstractNumId="1">
    <w:nsid w:val="5D63A877"/>
    <w:multiLevelType w:val="singleLevel"/>
    <w:tmpl w:val="5D63A877"/>
    <w:lvl w:ilvl="0" w:tentative="0">
      <w:start w:val="35"/>
      <w:numFmt w:val="decimal"/>
      <w:suff w:val="nothing"/>
      <w:lvlText w:val="%1."/>
      <w:lvlJc w:val="left"/>
    </w:lvl>
  </w:abstractNum>
  <w:abstractNum w:abstractNumId="2">
    <w:nsid w:val="5D63A979"/>
    <w:multiLevelType w:val="singleLevel"/>
    <w:tmpl w:val="5D63A979"/>
    <w:lvl w:ilvl="0" w:tentative="0">
      <w:start w:val="29"/>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D200A"/>
    <w:rsid w:val="348D20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2019-09-18T09:59:00Z</dcterms:created>
  <dc:creator>ning</dc:creator>
  <cp:lastModifiedBy>ning</cp:lastModifiedBy>
  <dcterms:modified xsi:type="dcterms:W3CDTF">2019-09-18T10:00:15Z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